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B27" w:rsidRDefault="00393B2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93B27" w:rsidRDefault="00B0442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“BRINCAR É COISA SÉRIA”: POTENCIALIZANDO O TERRITÓRIO DA CIDADE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393B27" w:rsidRDefault="00393B2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3B27" w:rsidRDefault="00B0442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“PLAYING IS A SERIOUS THING”: ENHANCED THE CITY’S TERRITORY</w:t>
      </w:r>
    </w:p>
    <w:p w:rsidR="00393B27" w:rsidRDefault="00393B2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3B27" w:rsidRDefault="00B0442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JUGAR ES COSA SERIA”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MEJORÓ EL TERRITORIO DE LA CIUDAD </w:t>
      </w:r>
    </w:p>
    <w:p w:rsidR="00393B27" w:rsidRDefault="00393B2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3B27" w:rsidRDefault="00B0442E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Juliane Claudia Piovesan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footnoteReference w:id="1"/>
      </w:r>
    </w:p>
    <w:p w:rsidR="00393B27" w:rsidRDefault="00B0442E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Susana Schwartz Basso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footnoteReference w:id="2"/>
      </w:r>
    </w:p>
    <w:p w:rsidR="00393B27" w:rsidRDefault="00393B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3B27" w:rsidRDefault="00B0442E">
      <w:pPr>
        <w:spacing w:after="0" w:line="240" w:lineRule="auto"/>
        <w:rPr>
          <w:rFonts w:ascii="Times New Roman" w:eastAsia="Times New Roman" w:hAnsi="Times New Roman" w:cs="Times New Roman"/>
          <w:b/>
          <w:color w:val="C0C0C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RESUMO </w:t>
      </w:r>
    </w:p>
    <w:p w:rsidR="00393B27" w:rsidRDefault="00B0442E" w:rsidP="00AE2C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“Brincar é coisa séria”: potencializando o território da cidade, intenciona refletir sobre as possibilidades e perspectivas do brincar e de sua ação efetiva como direito em espaços formais e não formais. Considerando a Cátedra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Unesco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UniTwin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– A Cidade que Educa e Transforma, este estudo apresenta a experiência de dois projetos que salientam o lúdico em espaços diferentes, com o objetivo de mostrar como a cidade tem potência de promover o brincar para além dos muros e espaços escolares. Destaca-se o projeto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“Brincar é coisa séria!”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desenvolvido na Escola Municipal de Educação Infantil Pedacinho do Céu,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Taquaruçu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do Sul/RS, e o projeto “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Música na brinquedoteca hospitalar: notas de vida”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promovido pelo Curso de Pedagogia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da URI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, juntamente com o Hospital Divina Providência de Frederico Westphalen/RS. As experiências fundamentam-se na compreensão da importância do brincar e recriar espaços brincantes além da escola, contribuindo na construção de uma cidade promotora do lúdico, com ações que potencializam a infância. </w:t>
      </w:r>
    </w:p>
    <w:p w:rsidR="00393B27" w:rsidRDefault="00AE2C22" w:rsidP="00AE2C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C0C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PALAVRAS-CHAVE: </w:t>
      </w:r>
      <w:r>
        <w:rPr>
          <w:rFonts w:ascii="Times New Roman" w:eastAsia="Times New Roman" w:hAnsi="Times New Roman" w:cs="Times New Roman"/>
          <w:sz w:val="20"/>
          <w:szCs w:val="20"/>
        </w:rPr>
        <w:t>cidade educadora; crianças; brincar; música; brinquedoteca hospitala</w:t>
      </w:r>
      <w:r>
        <w:rPr>
          <w:rFonts w:ascii="Arial" w:eastAsia="Arial" w:hAnsi="Arial" w:cs="Arial"/>
          <w:sz w:val="20"/>
          <w:szCs w:val="20"/>
        </w:rPr>
        <w:t>r.</w:t>
      </w:r>
    </w:p>
    <w:p w:rsidR="00393B27" w:rsidRDefault="00393B27" w:rsidP="00AE2C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93B27" w:rsidRDefault="00B0442E" w:rsidP="00AE2C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C0C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ABSTRACT</w:t>
      </w:r>
    </w:p>
    <w:p w:rsidR="00393B27" w:rsidRDefault="00B0442E" w:rsidP="00AE2C2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“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Playing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serious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”: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enhancing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city’s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territory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it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intends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reflect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possibilities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perspectives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playing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its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effective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as 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right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in formal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non-formal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spaces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Considering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Unesco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UniTwin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Chair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– The City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that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Educates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Transforms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study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presents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experience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two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projects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that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highlight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play in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different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spaces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aim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showing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how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city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power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promote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play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beyond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walls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school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spaces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highlight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project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, “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Playing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serious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!”,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developed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Pedacinho do Céu Municipal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School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Early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Childhood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Education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Taquaruçu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do Sul/RS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project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“Music in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hospital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toy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library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life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notes”,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promoted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URI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Pedagogy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Course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together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Divina Providência Hospital in Frederico Westphalen/RS. The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experiences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based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understanding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importance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playing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recreating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play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spaces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beyond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school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contributing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construction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city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that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promotes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play,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actions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that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enhance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childhood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393B27" w:rsidRDefault="00B0442E" w:rsidP="00AE2C2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KEYWORDS: </w:t>
      </w:r>
      <w:proofErr w:type="spellStart"/>
      <w:r w:rsidR="00AE2C22">
        <w:rPr>
          <w:rFonts w:ascii="Times New Roman" w:eastAsia="Times New Roman" w:hAnsi="Times New Roman" w:cs="Times New Roman"/>
          <w:sz w:val="20"/>
          <w:szCs w:val="20"/>
        </w:rPr>
        <w:t>educating</w:t>
      </w:r>
      <w:proofErr w:type="spellEnd"/>
      <w:r w:rsidR="00AE2C2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E2C22">
        <w:rPr>
          <w:rFonts w:ascii="Times New Roman" w:eastAsia="Times New Roman" w:hAnsi="Times New Roman" w:cs="Times New Roman"/>
          <w:sz w:val="20"/>
          <w:szCs w:val="20"/>
        </w:rPr>
        <w:t>city</w:t>
      </w:r>
      <w:proofErr w:type="spellEnd"/>
      <w:r w:rsidR="00AE2C22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 w:rsidR="00AE2C22">
        <w:rPr>
          <w:rFonts w:ascii="Times New Roman" w:eastAsia="Times New Roman" w:hAnsi="Times New Roman" w:cs="Times New Roman"/>
          <w:sz w:val="20"/>
          <w:szCs w:val="20"/>
        </w:rPr>
        <w:t>children</w:t>
      </w:r>
      <w:proofErr w:type="spellEnd"/>
      <w:r w:rsidR="00AE2C22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 w:rsidR="00AE2C22"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 w:rsidR="00AE2C22">
        <w:rPr>
          <w:rFonts w:ascii="Times New Roman" w:eastAsia="Times New Roman" w:hAnsi="Times New Roman" w:cs="Times New Roman"/>
          <w:sz w:val="20"/>
          <w:szCs w:val="20"/>
        </w:rPr>
        <w:t xml:space="preserve"> play; </w:t>
      </w:r>
      <w:proofErr w:type="spellStart"/>
      <w:r w:rsidR="00AE2C22">
        <w:rPr>
          <w:rFonts w:ascii="Times New Roman" w:eastAsia="Times New Roman" w:hAnsi="Times New Roman" w:cs="Times New Roman"/>
          <w:sz w:val="20"/>
          <w:szCs w:val="20"/>
        </w:rPr>
        <w:t>music</w:t>
      </w:r>
      <w:proofErr w:type="spellEnd"/>
      <w:r w:rsidR="00AE2C22">
        <w:rPr>
          <w:rFonts w:ascii="Times New Roman" w:eastAsia="Times New Roman" w:hAnsi="Times New Roman" w:cs="Times New Roman"/>
          <w:sz w:val="20"/>
          <w:szCs w:val="20"/>
        </w:rPr>
        <w:t xml:space="preserve">; hospital </w:t>
      </w:r>
      <w:proofErr w:type="spellStart"/>
      <w:r w:rsidR="00AE2C22">
        <w:rPr>
          <w:rFonts w:ascii="Times New Roman" w:eastAsia="Times New Roman" w:hAnsi="Times New Roman" w:cs="Times New Roman"/>
          <w:sz w:val="20"/>
          <w:szCs w:val="20"/>
        </w:rPr>
        <w:t>toy</w:t>
      </w:r>
      <w:proofErr w:type="spellEnd"/>
      <w:r w:rsidR="00AE2C2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E2C22">
        <w:rPr>
          <w:rFonts w:ascii="Times New Roman" w:eastAsia="Times New Roman" w:hAnsi="Times New Roman" w:cs="Times New Roman"/>
          <w:sz w:val="20"/>
          <w:szCs w:val="20"/>
        </w:rPr>
        <w:t>library</w:t>
      </w:r>
      <w:proofErr w:type="spellEnd"/>
      <w:r w:rsidR="00AE2C22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393B27" w:rsidRDefault="00393B27" w:rsidP="00AE2C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C0C0C0"/>
          <w:sz w:val="20"/>
          <w:szCs w:val="20"/>
        </w:rPr>
      </w:pPr>
    </w:p>
    <w:p w:rsidR="00393B27" w:rsidRDefault="00B0442E" w:rsidP="00AE2C22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C0C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RESUMEN</w:t>
      </w:r>
    </w:p>
    <w:p w:rsidR="00393B27" w:rsidRDefault="00B0442E" w:rsidP="00AE2C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“Jugar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es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cosa seria”: potenciando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territorio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ciudad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pretende reflexionar sobre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posibilidades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y perspectivas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juego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acción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efectiva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como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derecho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espacios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formales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y no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formales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Considerando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la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Cátedra Unesco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UniTwin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– La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Ciudad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que Educa y Transforma, este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estudio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presenta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experiencia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dos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proyectos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resaltan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juego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diferentes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espacios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objetivo de mostrar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cómo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ciudad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tiene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poder de promover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juego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más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allá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muros 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espacios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escolares. Se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destacan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el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proyecto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“¡Jugar es serio!”,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desarrollado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Escuela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Municipal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Educación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Infantil Pedacinho do Céu,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Taquaruçu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do Sul/RS, 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proyecto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“Música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ludoteca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hospital: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apuntes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vida”, promovido por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Pedagogía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Curso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URI,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conjunto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Hospital Divina Providência de Frederico Westphalen/RS.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experiencias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basan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comprensión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importancia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jugar y recrear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espacios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juego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más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allá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escuela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contribuyendo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construcción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una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ciudad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promueva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juego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acciones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potencien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niñez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393B27" w:rsidRPr="00AE2C22" w:rsidRDefault="00B0442E" w:rsidP="00AE2C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PALABRAS CLAVE: </w:t>
      </w:r>
      <w:proofErr w:type="spellStart"/>
      <w:r w:rsidR="00AE2C22">
        <w:rPr>
          <w:rFonts w:ascii="Times New Roman" w:eastAsia="Times New Roman" w:hAnsi="Times New Roman" w:cs="Times New Roman"/>
          <w:sz w:val="20"/>
          <w:szCs w:val="20"/>
        </w:rPr>
        <w:t>ciudad</w:t>
      </w:r>
      <w:proofErr w:type="spellEnd"/>
      <w:r w:rsidR="00AE2C22">
        <w:rPr>
          <w:rFonts w:ascii="Times New Roman" w:eastAsia="Times New Roman" w:hAnsi="Times New Roman" w:cs="Times New Roman"/>
          <w:sz w:val="20"/>
          <w:szCs w:val="20"/>
        </w:rPr>
        <w:t xml:space="preserve"> educadora; </w:t>
      </w:r>
      <w:proofErr w:type="spellStart"/>
      <w:r w:rsidR="00AE2C22">
        <w:rPr>
          <w:rFonts w:ascii="Times New Roman" w:eastAsia="Times New Roman" w:hAnsi="Times New Roman" w:cs="Times New Roman"/>
          <w:sz w:val="20"/>
          <w:szCs w:val="20"/>
        </w:rPr>
        <w:t>niños</w:t>
      </w:r>
      <w:proofErr w:type="spellEnd"/>
      <w:r w:rsidR="00AE2C22">
        <w:rPr>
          <w:rFonts w:ascii="Times New Roman" w:eastAsia="Times New Roman" w:hAnsi="Times New Roman" w:cs="Times New Roman"/>
          <w:sz w:val="20"/>
          <w:szCs w:val="20"/>
        </w:rPr>
        <w:t xml:space="preserve">; para jugar; música; </w:t>
      </w:r>
      <w:proofErr w:type="spellStart"/>
      <w:r w:rsidR="00AE2C22">
        <w:rPr>
          <w:rFonts w:ascii="Times New Roman" w:eastAsia="Times New Roman" w:hAnsi="Times New Roman" w:cs="Times New Roman"/>
          <w:sz w:val="20"/>
          <w:szCs w:val="20"/>
        </w:rPr>
        <w:t>ludoteca</w:t>
      </w:r>
      <w:proofErr w:type="spellEnd"/>
      <w:r w:rsidR="00AE2C2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E2C22">
        <w:rPr>
          <w:rFonts w:ascii="Times New Roman" w:eastAsia="Times New Roman" w:hAnsi="Times New Roman" w:cs="Times New Roman"/>
          <w:sz w:val="20"/>
          <w:szCs w:val="20"/>
        </w:rPr>
        <w:t>hospitalaria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393B27" w:rsidRDefault="00B0442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67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CONSIDERAÇÕES INICIAIS </w:t>
      </w:r>
    </w:p>
    <w:p w:rsidR="00393B27" w:rsidRDefault="00393B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“Cidades que educam e transformam” mobiliza o debate acerca das possibilidades e perspectivas do brincar para potencializar o território da cidade, refletindo sobre como se efetiva o direito de brincar em espaços formais e não formais. O referido grupo foi composto para constituir o XIII Simpósio Nacional de Educação - SINCOL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VI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Ciclo de Estudos em Educação, VII Colóquio Internacional de Políticas Educacionais e Formação de Professores, promovido pela Universidade Regional Integrada do Alto Uruguai e das Missões,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Câmpus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Frederico Westphalen/RS, através do Programa de Pós-graduação em Educação (PPGEDU), com a temática “Educação Básica e Superior: Desafios e compromissos para a vida democrática”.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Outrossim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o Grupo de Trabalho vincula-se ao movimento Cátedra Unesco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UniTwin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A Cidade que Educa e Transforma. 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Nessa perspectiva, levantam-se indagações que articulam o debate e são prementes de reflexões, a saber: Como se efetiva o direito de brincar na cidade? Como acontece o brincar como acolhimento? Quais experiências e vivências do brincar na Infância mobilizam significativamente o educar e o transformar em espaços formais e não formais? Quem é a criança, um ser brincante, no movimento do território? Quais práticas, incentivadas e planejadas pelo educador, movimentam o brincar na cidade?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Mobiliza-se o propósito de pensar o direito de brincar enquanto prática/ambiente/espaço que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acolhe,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que constrói e possibilita educar e transformar em contextos da cidade. Na contemporaneidade, a relação entre o binômio educação-cidade é marcada pela expressão “Cidades Educativas”, por meio do relatório de Edgar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(1972), publicado em 1972 pela Organização das Nações Unidas para a Educação, a Ciência e a Cultura – UNESCO. Desde então, diversas expressões, com diferentes significados, versam sobre esta relação. Portanto, concentra-se a atenção para fundamentar as reflexões nas concepções de Cidade Educadora e Cidade das Crianças, em especial do direito de brincar.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partir dessas concepções - experiências oriundas do contexto Europeu, mas que estão presentes em vários países, inclusive no Brasil, conforme a Associação Internacional das Cidades Educadoras (AICE)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há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40 cidades brasileiras que integram a rede como membros ativos da Associação. Com relação à Rede Mundial de Cidade das Crianças, desde 2018, há uma experiência no Estado de São Paulo, na cidade de Jundiaí, denominada “Jundiaí, Cidade das Crianças”. 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Destaca-se, na reflexão da Cidade das Crianças, 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brincar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na infância enquanto ato lúdico, o qual se constitui como uma ferramenta indispensável que proporciona entretenimento e aprendizagem, sendo fundamental para projetar e concretizar uma cidade que educa e transforma pensando na humanidade e na vida. Pelo brincar, os indivíduos são capazes de construir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sua formação inseridos numa cultura coletiva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Brincando, a criança interage com o cotidiano, com oportunidade de momentos para seu desenvolvimento integral. </w:t>
      </w:r>
    </w:p>
    <w:p w:rsidR="00393B27" w:rsidRDefault="00B0442E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Neste contexto, reflete-se sobre a Cidade Educadora e o direito de brincar,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pensando nas possibilidades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a cidade promover espaços para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 brincar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para além dos muros da escola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Assim, são apresentadas duas experiências significativas: o projeto “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Brincar é coisa séria!”,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promovido em uma escola de Educação Infantil no Município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Taquaruçu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Sul/RS,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 o projeto 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Música na brinquedoteca hospitalar: notas de vida</w:t>
      </w:r>
      <w:r>
        <w:rPr>
          <w:rFonts w:ascii="Times New Roman" w:eastAsia="Times New Roman" w:hAnsi="Times New Roman" w:cs="Times New Roman"/>
          <w:sz w:val="24"/>
          <w:szCs w:val="24"/>
        </w:rPr>
        <w:t>”, desenvolvido em uma instituição hospitalar no Município de Frederico Westphalen/RS</w:t>
      </w:r>
      <w:r>
        <w:rPr>
          <w:rFonts w:ascii="Arial" w:eastAsia="Arial" w:hAnsi="Arial" w:cs="Arial"/>
          <w:sz w:val="24"/>
          <w:szCs w:val="24"/>
        </w:rPr>
        <w:t>.</w:t>
      </w:r>
    </w:p>
    <w:p w:rsidR="00393B27" w:rsidRDefault="00393B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93B27" w:rsidRDefault="00B0442E">
      <w:pPr>
        <w:pStyle w:val="Ttulo1"/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Reflexões sobre a Cidade Educadora </w:t>
      </w:r>
    </w:p>
    <w:p w:rsidR="00393B27" w:rsidRDefault="00393B27">
      <w:pPr>
        <w:spacing w:after="0" w:line="360" w:lineRule="auto"/>
        <w:ind w:firstLine="708"/>
      </w:pP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concepção de Cidade Educadora surgiu em 1990, no I Congresso da AICE, em Barcelona, na Espanha. Nesse evento, foi elaborada a Carta das Cidades Educadoras ou Declaração de Barcelona. Em 1994, foi ratificada e aprimorada no II Congresso Internacional na cidade de Bolonha. Em 2004, foi revisada novamente no VII Congresso na cidade de Génova. Em novembro de 2020, modificada para enfatizar a questão de gênero e focar na sustentabilidade e em princípios específicos de saúde e cuidados com foco na cultura. Também agregou outros tópicos, como big data e brecha digital. Atualmente, 481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cidades de 28 países fazem parte da AICE. 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Cidade Educadora, segundo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(2019), constitui uma abordagem política e pedagógica. A concepção vai além de uma metodologia ou uma teoria onírica sobre um modo distinto de organizar as cidades, direcionando-se para uma resposta, na perspectiva que seja possível conviver com as diferenças em um mundo onde todos tenham um lugar. Parte-se da ideia de que a cidade se torna uma Cidade Educadora por que a educação, o aprendizado, a criação e a imaginação são os pontos de partida da vida e das experiências, fornecendo conhecimentos concretos que melhoram o enfrentamento e o viver dignamente, nos quais os indivíduos possuam uma visão crítica e ampliada dos contextos sociais, políticos, econômicos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 culturais, de modo geral, que pensem no coletivo. Esses indivíduos são construídos em diferentes momentos e espaços na sociedade, no âmbito da família, da escola e da comunidade. 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debate inicial ocorreu sobre como as cidades podem se transformar em espaços onde a educação está presente em todos os aspectos da vida urbana. As discussões incluíram que tanto as instituições formais, intervenções não formais com objetivos pedagógicos pré-estabelecidos, bem como ideias ou vivências que surgiram de forma contingente ou derivam de padrões comerciais, podem ter o caráter educativo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Cabezudo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2004).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Assim, uma Cidade Educadora é aquela que possui uma identidade e um protagonismo local e global, que se preocupa com as pessoas que nela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vivem,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promotora de momentos de acolhimento, de olhar de cuidado, de aprendizagens, de vivências que incitem o educar, o viver plenamente e o transformar. Enfim, exerce um papel educador na vida dos seres humanos, assumindo como desafio permanente a formação integral de seus habitantes. </w:t>
      </w:r>
    </w:p>
    <w:p w:rsidR="00393B27" w:rsidRDefault="00393B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pStyle w:val="Ttulo1"/>
        <w:spacing w:after="0"/>
        <w:rPr>
          <w:b w:val="0"/>
          <w:color w:val="000000"/>
          <w:sz w:val="24"/>
          <w:szCs w:val="24"/>
          <w:highlight w:val="yellow"/>
        </w:rPr>
      </w:pPr>
      <w:bookmarkStart w:id="1" w:name="_heading=h.dtacmigyjtbg" w:colFirst="0" w:colLast="0"/>
      <w:bookmarkEnd w:id="1"/>
      <w:r>
        <w:rPr>
          <w:color w:val="000000"/>
          <w:sz w:val="24"/>
          <w:szCs w:val="24"/>
        </w:rPr>
        <w:t xml:space="preserve">Reflexões sobre a Cidade das Crianças </w:t>
      </w:r>
    </w:p>
    <w:p w:rsidR="00393B27" w:rsidRDefault="00393B27">
      <w:pPr>
        <w:spacing w:after="0" w:line="360" w:lineRule="auto"/>
        <w:ind w:firstLine="708"/>
      </w:pP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Cidade das Crianças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Projeto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Città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dei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Bambini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consolidou-se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em 1991, na Itália, através do professor Francesco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Tonucci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que impulsionou o projeto como uma alternativa às estruturas dos centros urbanos, pensadas apenas para adultos e com o objetivo de promover mudanças nos padrões adotados pelos governos das cidades, incluindo a participação ativa das crianças na administração pública e no planejamento urbano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Tonucci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1996). 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Conforme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Tonucci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outros idealizadores da Rede Mundial da Cidade das Crianças, Jundiaí, em São Paulo, é a única cidade brasileira a fazer parte do Projeto Cidade das Crianças, que atualmente abrange 200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cidades em 15 países da Europa e América Latina. A ideia é que Jundiaí seja um modelo para outros municípios do mundo que falam Língua Portuguesa. O projeto idealiza principalmente a necessidade de que as crianças tenham acesso à liberdade e à autonomia, que são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essenciais para sociedades democráticas e baseadas na justiça, especialmente durante a infância, fase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mais importante de seu crescimento. Posteriormente, surgiu a noção de permitir que elas participassem das decisões tomadas pelos governos de suas cidades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Tonucci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1996).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 proposta italiana defende que as cidades devem ser construídas levando em consideração a perspectiva das crianças, permitindo que elas participem dos espaços públicos, que elas circulem pela cidade e brinquem livremente. Tenham acesso aos espaços com segurança e com as adequações necessárias para atividades essenciais ao seu desenvolvimento, com direito de ser e estar na cidade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Tonucci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1996).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Nesse sentido, pensar nas crianças desde cedo permite efetivar a compreensão de que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são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parte da sociedade, com clareza, que elas são o “tempo presente”. Muito se dissemina que as crianças “são o futuro”, sim, elas representam o que está por vir; no entanto, o presente é crucial para sua formação. Isso leva à ideia de que é possível ser e estar na cidade no presente e não somente vislumbrar um futuro incerto, como na mesma intenção filosófica de John Dewey, com sua conhecida afirmação “[...] educação é um processo direto da vida, e a escola não pode ser uma preparação para a vida, mas sim, a própria vida” (Dewey, 1967, p. 7).</w:t>
      </w:r>
    </w:p>
    <w:p w:rsidR="00393B27" w:rsidRDefault="00393B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 direito inalienável do brincar na infância</w:t>
      </w:r>
    </w:p>
    <w:p w:rsidR="00393B27" w:rsidRDefault="00393B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brincar precisa fazer parte de todo o processo da vida infantil, sendo fundamental ao indivíduo, sobretudo às crianças. Trata-se de um direito garantido por lei e preconizado pela Organização das Nações Unidas desde 1959 (Nações Unidas, 1959). Também a Constituição Federal Brasileira e o Estatuto da Criança e do Adolescente asseguram esse direito, o qual foi fortalecido como Marco Legal da Primeira Infância (Brasil, 2016). Nessa perspectiva, esse direito deve ser garantido pela família, pela sociedade em geral e pelo poder público para todas as crianças. Ainda, a Base Nacional Comum Curricular (Brasil, 2017) destaca seis direitos de aprendizagem assegurados, sendo eles conviver,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brincar,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participar, explorar, expressar e conhecer. Assim, o documento enfatiza 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brincar </w:t>
      </w:r>
      <w:r>
        <w:rPr>
          <w:rFonts w:ascii="Times New Roman" w:eastAsia="Times New Roman" w:hAnsi="Times New Roman" w:cs="Times New Roman"/>
          <w:sz w:val="24"/>
          <w:szCs w:val="24"/>
        </w:rPr>
        <w:t>enquanto um direito essencial de aprendizagem.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movimento do direito de brincar,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Tonucci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(2020, p. 240) relata que uma menina membro do Conselho da Criança de Roma, com 10 anos, reflete o seguinte: "Para os professores, o estudo é importante porque nos prepara para o futuro, ao contrário, brinca-se somente quando se é criança e por isso não vale nada", resumindo assim o pensamento adulto. O autor discorre que o jogo assume uma importância significativa na história dos homens e mulheres, em resposta a essa maneira interior, esse olhar alheio dos adultos, que desmerecem o valor de suas vivências infantis.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Nessa defesa,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Tonucci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(2020) expõe seu pensamento, presumindo que o jogo antecede e assenta-se na cultura humana. Então, pode-se afirmar que sustenta o crescimento individual de cada homem e mulher. As pesquisas científicas no âmbito do desenvolvimento humano entendem que existe um desenvolvimento acelerado nos primeiros dias, meses e anos de vida. É uma explosão de experiências desde o nascimento, não aos seis anos, quando se leva em consideração a idade da razão, como parecem acreditar alguns adultos. Antes de começarem a frequentar a sala de aula, as crianças já adquiriram conhecimentos essenciais, que servirão como base para todo o conhecimento posterior.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Tonucci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(2020) acredita que o jogo se consolida como a atividade mais importante dos primeiros anos. Ele interroga a quem se atribui o mérito do crescimento significativo nessa primeira idade, quando não há professores, materiais ou programas didáticos disponíveis. Qual a razão de essa atividade infantil ter tanta influência?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Segundo o autor, as crianças experimentam através do brincar, experiências da vida humana real, como enfrentar a complexidade deste mundo. O brincar posiciona-se mediante o mundo e seus estímulos, novidades e atração,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alimentado por sua curiosidade e capacidade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Brincar também significa representar uma parte do mundo como uma escultura ao longo do tempo: um modelo que terá inserido um amigo, coisas, regras, tempo para ocupar, riscos a tomar e total liberdade, pois você pode inventar algo substancial com uma grande liberdade em relação às limitações da realidade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Tonucci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2020). 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brincar,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Winnicott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(1982), vai além de a criança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externalizar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que está sentindo, pois por meio dele a criança adquire experiência, sendo que a brincadeira é uma parcela importante da sua vida. Destaca, ainda, que as crianças evoluem por intermédio de suas próprias brincadeiras e das invenções feitas por outras crianças e por adultos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Winnicott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1982).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Assim, o brincar é um direito fundamental e essencial ao desenvolvimento da criança. Ele auxilia o indivíduo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externalizar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que sente, desperta sua capacidade criadora, auxilia em suas funções corporais, além de estabelecer contatos sociais.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Winnicott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(1975, p. 79) também destaca que,</w:t>
      </w:r>
    </w:p>
    <w:p w:rsidR="00393B27" w:rsidRDefault="00393B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 w:rsidP="00AE2C22">
      <w:pPr>
        <w:spacing w:after="0" w:line="240" w:lineRule="auto"/>
        <w:ind w:left="2268" w:firstLine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É no brincar, e talvez apenas no brincar, que a criança ou adulto fruem de sua liberdade de criação. As brincadeiras servem de elo entre, por um lado, a relação do indivíduo com a realidade interior, e por outro lado, a relação do indivíduo com a realidade externa ou compartilhada.</w:t>
      </w:r>
    </w:p>
    <w:p w:rsidR="00393B27" w:rsidRDefault="00393B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 brincar possibilita o processo de aprendizagem à criança, proporciona a relação em grupo,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integração na sociedade, a diversão associada à ludicidade, a recriação e a criação. Nessa perspectiva, as brincadeiras oportunizam aprendizagens significativas e fundamentais ao desenvolvimento humano, sendo um direito da infância em todos os tempos e espaços, em contextos formais e informais.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crianças são membros da sociedade e a ideia de que é possível promover a conscientização cidadã desde a infância é uma evidência. Essa percepção de sua capacidade de influência sobre o ambiente ao redor é importante para elas. Na reflexão deste estudo, propõe-se a difusão do direito de brincar e sua necessidade nos espaços da cidade, educando e transformando. 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 estudiosos do desenvolvimento infantil concordam que o brincar é a parte mais importante da infância. Brincar permite a construção da formação enquanto se integra à cultura coletiva. Brincar permite que as crianças interajam com o cotidiano e aprendam coisas importantes para o seu desenvolvimento integral.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Devido aos diversos desafios atuais na relação entre cidade e às infâncias, é imperativo redefinir 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)significar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os espaços pedagógicos, a fim de tornar a escola e outros espaços educativos lugares de vivências significativas. Concorda-se com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afirmação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que “pensar a cidade é pensar em relações equilibradas entre as pessoas, os governos, as políticas públicas, as instituições, na perspectiva do bem-viver”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Moll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; Barcelos; Dutra, 2022, p. 714).</w:t>
      </w:r>
    </w:p>
    <w:p w:rsidR="00393B27" w:rsidRDefault="00393B27">
      <w:pPr>
        <w:pStyle w:val="Ttulo1"/>
        <w:spacing w:after="0" w:line="360" w:lineRule="auto"/>
        <w:ind w:firstLine="708"/>
        <w:jc w:val="both"/>
        <w:rPr>
          <w:color w:val="000000"/>
          <w:sz w:val="24"/>
          <w:szCs w:val="24"/>
        </w:rPr>
      </w:pPr>
      <w:bookmarkStart w:id="2" w:name="_heading=h.a6r9s69psixo" w:colFirst="0" w:colLast="0"/>
      <w:bookmarkEnd w:id="2"/>
    </w:p>
    <w:p w:rsidR="00393B27" w:rsidRDefault="00B0442E">
      <w:pPr>
        <w:pStyle w:val="Ttulo1"/>
        <w:spacing w:after="0" w:line="360" w:lineRule="auto"/>
        <w:jc w:val="both"/>
        <w:rPr>
          <w:b w:val="0"/>
          <w:color w:val="000000"/>
          <w:sz w:val="24"/>
          <w:szCs w:val="24"/>
        </w:rPr>
      </w:pPr>
      <w:bookmarkStart w:id="3" w:name="_heading=h.czgchhhocqnp" w:colFirst="0" w:colLast="0"/>
      <w:bookmarkEnd w:id="3"/>
      <w:r>
        <w:rPr>
          <w:color w:val="000000"/>
          <w:sz w:val="24"/>
          <w:szCs w:val="24"/>
        </w:rPr>
        <w:t>Espaços brincantes: intensificando o brincar no território da escola</w:t>
      </w:r>
    </w:p>
    <w:p w:rsidR="00393B27" w:rsidRDefault="00393B2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iniciativa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"Brincar é coisa séria!"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foi um projeto idealizado, construído e efetivado no ano 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2023 na Escola Municipal de Educação Infantil Pedacinho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do Céu,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Taquaruçu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Sul/RS, com o intuito de criar um espaço pedagógico/brincante para as crianças da educação infantil. A ideia teve início em uma reunião pedagógica na qual a gestão escolar sugeriu que um projeto coletivo pudesse ser incluído na plataforma de projetos do Fundo de Desenvolvimento Regional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Sicredi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Conexão. A ideia foi aceita e pensada como um espaço "brincável" para todas as faixas etárias da escola infantil.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planejamento do projeto buscou atender o regulamento do Fundo de Desenvolvimento Regional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Sicredi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Conexão, que destina apoio financeiro para projetos que promovam a cooperação, a cidadania, o aprimoramento cultural e social da área de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atuação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Sicredi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Conexão, com o objetivo de “contribuir para o desenvolvimento econômico, social e ambiental...”. Conforme consta no site: 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</w:p>
    <w:p w:rsidR="00393B27" w:rsidRDefault="00B0442E">
      <w:pPr>
        <w:shd w:val="clear" w:color="auto" w:fill="FFFFFF"/>
        <w:spacing w:after="0" w:line="240" w:lineRule="auto"/>
        <w:ind w:left="22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Sobre o projeto: A infância é uma fase muito importante para a aquisição de conhecimentos e desenvolvimento de habilidades. Pode não parecer, mas brincar é coisa séria. O que para nós são simples objetos, aos olhos das crianças podem se transformar em jogos emocionantes, amigos imaginários e aventuras pelo espaço; e é brincando que as crianças aprendem a dar sentido ao mundo. O brincar também é um direito das crianças e está previsto na BNCC (Base Nacional Comum Curricular) e nas Diretrizes Curriculares Nacionais para a Educação Infantil que priorizam as brincadeiras e interações. Diante desse cenário, verifica-se a necessidade da escola contar com espaços amplos e adaptados para as atividades motoras e lúdicas e que devem fazer parte da rotina escolar. A escola já conta com um calçadão amplo, mas que precisa ser organizado e revitalizado com diferentes e variadas atividades para os alunos da Educação Infantil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Sicredi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Conexão, 2023).</w:t>
      </w:r>
    </w:p>
    <w:p w:rsidR="00393B27" w:rsidRDefault="00393B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 acordo com o site do Fundo de Desenvolvimento Regional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Sicredi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Conexão, o espaço "brincável" idealizado versa sobre a permissão que as crianças possam aprender e se desenvolver de forma divertida e significativa. Ainda, trouxe a seguinte materialidade:</w:t>
      </w:r>
    </w:p>
    <w:p w:rsidR="00393B27" w:rsidRDefault="00393B27" w:rsidP="00AE2C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240" w:lineRule="auto"/>
        <w:ind w:left="22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Resultados: O projeto consiste em atender aos anseios dos profissionais da educação para a melhoria do calçadão com a construção e instalação de jogos, espaços e atividades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sensório-motores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como: escadas, pontes, rampas, teia de cordas, balanços, mesinhas e bancos, caminho de texturas, painéis de estimulação e musical, pintura de labirintos, circuito de atividades, entre outros. A revitalização do calçadão vai melhorar a qualidade das aulas no espaço escolar e oportunizar maior conhecimento e aprendizado aos alunos. Para atender a grande quantidade de alunos matriculados na escola, é necessário oferecer espaços adaptados para a realização de atividades na área externa, e o calçadão revitalizado contribuirá e muito para melhorar a qualidade de ensino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Sicredi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Conexão, 2023).</w:t>
      </w:r>
    </w:p>
    <w:p w:rsidR="00393B27" w:rsidRDefault="00393B27" w:rsidP="00AE2C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93B27" w:rsidRPr="00AE2C22" w:rsidRDefault="00B0442E" w:rsidP="00AE2C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projeto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"Brincar é coisa séria!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" começou a mudar diariamente o espaço da escola. Foi notável o esforço da gestão escolar, dos professores e dos funcionários para organizar os brinquedos adquiridos e as pinturas que foram feitas. Isso deu origem à instalação dos jogos,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labirintos, rampas, pontes e outros, como ilustramos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seguir:</w:t>
      </w:r>
    </w:p>
    <w:p w:rsidR="00393B27" w:rsidRPr="00AE2C22" w:rsidRDefault="00393B27" w:rsidP="00AE2C2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highlight w:val="white"/>
        </w:rPr>
      </w:pPr>
    </w:p>
    <w:p w:rsidR="00393B27" w:rsidRDefault="00B0442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 xml:space="preserve">FIGURA 01: </w:t>
      </w:r>
      <w:r>
        <w:rPr>
          <w:rFonts w:ascii="Times New Roman" w:eastAsia="Times New Roman" w:hAnsi="Times New Roman" w:cs="Times New Roman"/>
          <w:highlight w:val="white"/>
        </w:rPr>
        <w:t>Espaços revitalizados 01</w:t>
      </w:r>
    </w:p>
    <w:p w:rsidR="00393B27" w:rsidRPr="00AE2C22" w:rsidRDefault="00B0442E" w:rsidP="00AE2C2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highlight w:val="white"/>
        </w:rPr>
        <w:drawing>
          <wp:inline distT="114300" distB="114300" distL="114300" distR="114300" wp14:anchorId="08B26FDA" wp14:editId="4079C142">
            <wp:extent cx="4132733" cy="1735907"/>
            <wp:effectExtent l="0" t="0" r="0" b="0"/>
            <wp:docPr id="17563106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2733" cy="17359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3B27" w:rsidRPr="00AE2C22" w:rsidRDefault="00B0442E" w:rsidP="00AE2C2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>Fonte: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Disponível em: </w:t>
      </w:r>
      <w:hyperlink r:id="rId9">
        <w:r>
          <w:rPr>
            <w:rFonts w:ascii="Times New Roman" w:eastAsia="Times New Roman" w:hAnsi="Times New Roman" w:cs="Times New Roman"/>
            <w:sz w:val="20"/>
            <w:szCs w:val="20"/>
          </w:rPr>
          <w:t>https://fundo.sicrediconexao.com.br/projetos/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Acesso em: 30 jul.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2024</w:t>
      </w:r>
      <w:proofErr w:type="gramEnd"/>
    </w:p>
    <w:p w:rsidR="00393B27" w:rsidRDefault="00B0442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lastRenderedPageBreak/>
        <w:t xml:space="preserve">FIGURA 02: </w:t>
      </w:r>
      <w:r>
        <w:rPr>
          <w:rFonts w:ascii="Times New Roman" w:eastAsia="Times New Roman" w:hAnsi="Times New Roman" w:cs="Times New Roman"/>
          <w:highlight w:val="white"/>
        </w:rPr>
        <w:t>Espaços revitalizados 02</w:t>
      </w:r>
    </w:p>
    <w:p w:rsidR="00393B27" w:rsidRPr="00AE2C22" w:rsidRDefault="00B0442E" w:rsidP="00AE2C2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highlight w:val="white"/>
        </w:rPr>
        <w:drawing>
          <wp:inline distT="114300" distB="114300" distL="114300" distR="114300" wp14:anchorId="43C49734" wp14:editId="67E97370">
            <wp:extent cx="4167106" cy="1628524"/>
            <wp:effectExtent l="0" t="0" r="0" b="0"/>
            <wp:docPr id="175631064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7106" cy="1628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3B27" w:rsidRDefault="00B0442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>Fonte: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Disponível em: </w:t>
      </w:r>
      <w:hyperlink r:id="rId11">
        <w:r>
          <w:rPr>
            <w:rFonts w:ascii="Times New Roman" w:eastAsia="Times New Roman" w:hAnsi="Times New Roman" w:cs="Times New Roman"/>
            <w:sz w:val="20"/>
            <w:szCs w:val="20"/>
          </w:rPr>
          <w:t>https://fundo.sicrediconexao.com.br/projetos/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Acesso em: 30 jul.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2024</w:t>
      </w:r>
      <w:proofErr w:type="gramEnd"/>
    </w:p>
    <w:p w:rsidR="00393B27" w:rsidRDefault="00393B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maior parte da criação do “espaço brincável” ocorreu fora do horário de trabalho. Isso mostra que as pessoas envolvidas não mediram esforços e vislumbravam um espaço potente para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 brincar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coletivo. Os profissionais sabiam que as crianças ficariam satisfeitas com o local, que seria parte do dia a dia da escola infantil.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efetivação do novo espaço corrobora com Sarmento (2013), que explica sobre os Novos Estudos da Criança que sustentam a intencionalidade. Essa intenção permite que as crianças sejam vistas em seu contexto, ouvidas com atenção, compreendidas e valorizadas. Oferecer um ambiente que corresponda ao direito de brincar é um ato de liberdade e respeito. Acredita-se que essa revitalização demonstra o compromisso da escola em proporcionar experiências significativas e enriquecedoras para as crianças, contribuindo para a construção de um ambiente educativo mais inclusivo, participativo e acolhedor. Espera-se que isso inspire a construção de mais espaços de brincar em outras instituições e também fora delas, tornando-se um projeto nos territórios dos municípios. 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Apoia-se ao pensamento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Tonucci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(2020), na defesa que as crianças testam experiências inéditas ao brincar, onde podem explorar suas curiosidades, usar tudo o que sabem e podem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fazer,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bem como tudo o que não sabem e querem fazer, o que as leva a descobrir novas coisas. Elas se abrem ao mundo sem muitas das restrições que os adultos enfrentam, com todas as suas surpresas e encantos. Elas têm a capacidade de imaginar o que não existe e criar coisas que parecem impossíveis. Isso mostra a verdadeira independência, a capacidade de estabelecer suas próprias regras autônomas e a liberdade, fundadas na diversão.</w:t>
      </w:r>
    </w:p>
    <w:p w:rsidR="00393B27" w:rsidRDefault="00393B27">
      <w:pPr>
        <w:pStyle w:val="Ttulo1"/>
        <w:spacing w:after="0" w:line="360" w:lineRule="auto"/>
        <w:ind w:firstLine="708"/>
        <w:jc w:val="both"/>
        <w:rPr>
          <w:color w:val="000000"/>
          <w:sz w:val="24"/>
          <w:szCs w:val="24"/>
        </w:rPr>
      </w:pPr>
      <w:bookmarkStart w:id="4" w:name="_heading=h.vytdtdtsy4qt" w:colFirst="0" w:colLast="0"/>
      <w:bookmarkEnd w:id="4"/>
    </w:p>
    <w:p w:rsidR="00AE2C22" w:rsidRDefault="00AE2C22" w:rsidP="00AE2C22"/>
    <w:p w:rsidR="00AE2C22" w:rsidRPr="00AE2C22" w:rsidRDefault="00AE2C22" w:rsidP="00AE2C22"/>
    <w:p w:rsidR="00393B27" w:rsidRDefault="00B0442E">
      <w:pPr>
        <w:pStyle w:val="Ttulo1"/>
        <w:spacing w:after="0" w:line="360" w:lineRule="auto"/>
        <w:jc w:val="both"/>
        <w:rPr>
          <w:b w:val="0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O brincar no território do hospital: notas de vida</w:t>
      </w:r>
    </w:p>
    <w:p w:rsidR="00393B27" w:rsidRDefault="00393B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composição da reflexão sobre os territórios das cidades com o brincar, e com o público da infância, está sendo desenvolvido o projeto de extensão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“Música na Brinquedoteca Hospitalar: notas de vida</w:t>
      </w:r>
      <w:r>
        <w:rPr>
          <w:rFonts w:ascii="Times New Roman" w:eastAsia="Times New Roman" w:hAnsi="Times New Roman" w:cs="Times New Roman"/>
          <w:sz w:val="24"/>
          <w:szCs w:val="24"/>
        </w:rPr>
        <w:t>”, o qual é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promovido pelo Curso de Pedagogia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 URI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– Universidade Regional Integrada do Alto Uruguai e das Missões, juntamente com o Hospital Divina Providência (HDP), de Frederico Westphalen/RS. O referido intenciona desenvolver atividades lúdicas, com utilização da música para crianças internadas, proporcionando momentos de descontração e alegria, promovendo a sensibilidade e a humanização e amenizando, assim, a angústia da criança e da família. De acordo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Winnicott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(1975), o lúdico é uma importante ferramenta, é prazeroso, devido à sua capacidade de absorver o indivíduo, de forma intensa e total, criando um clima de entusiasmo.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hospital é um espaço da cidade que previne, educa e reabilita. No caso deste estudo, para as crianças, torna-se necessário ser um ambiente que possibilite alegria, tendo em vista que a sua permanência no hospital, na maioria dos casos, significa preocupação, olhar de cuidado, tristeza, medo e angústia. Nesse particular, o brincar na infância, enquanto ato lúdico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constitui-se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como uma ferramenta indispensável que proporciona entretenimento e aprendizagem, fazendo com que amenize a dor e o medo, além de ser um meio alternativo que vem somar no tratamento dos pacientes, sendo fundamental para projetar e concretizar uma cidade que educa e transforma pensando na humanidade e na vida.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âmbito hospitalar, é de significativa relevância dar ênfase que “toda criança está imersa em um caldo cultural que é formado não só pela sua família, como também por todo o grupo social no qual ela cresce” (Moreira, 2023, p. 109). Por isso, há necessidade da interação nos diferentes espaços em que a criança se encontra e construindo situações que pensem a infância em sua integridade, conectando a educação e o espaço das cidades.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Desse modo, no pensar na infância, pode-se entender a música como uma ferramenta que aproxima as vivências musicais do cotidiano hospitalar, fazendo com que as crianças se sintam mais familiarizadas nesse ambiente. Momentos de descontração e convívio com a família, mediados pela expressão musical, têm grande significado para as crianças e também para o auxílio no tratamento. A música é um “[...] processo contínuo de construção, que envolve perceber, sentir, experimentar, imitar, criar e refletir”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Brito,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2003, p. 46). 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projeto, primeiramente, realiza um convite nos quartos dos pacientes, chamando-os para visitar a brinquedoteca, cabendo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tarefa de levá-los ou não aos pais ou responsáveis. No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espaço da brinquedoteca hospitalar, cria-se um ambiente sonorizado com um repertório variado, baseando-se em músicas infantis e contemporâneas de diversos ritmos, para bem recepcionar as crianças e introduzi-las numa atmosfera diferenciada, a fim de promover momentos de diversão e alegria, de forma dinâmica e lúdica, para elas e seus acompanhantes.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criança encontra na brincadeira a possibilidade de aliviar situações e demonstra, brincando, os seus desejos e medos, sendo necessário um olhar direcionado para encontrar alternativas de ajudá-la a amenizar esses sentimentos ou exteriorizá-los. Nesse contexto, destaca-se a importância da brinquedoteca, que possui, conforme Gimenez (2011), a função de deixar a estadia do paciente infantil menos traumatizante, bem como o ambiente mais alegre, contribuindo, assim, com sua recuperação.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que se refere às observações realizadas acerca das práticas com as crianças no hospital, pode-se perceber, com os maiores, a presença de demonstrações tanto de forma verbal, como através de sorrisos pela satisfação do que se está ouvindo/executando/brincando. Em relação às crianças menores, o que se pode perceber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foram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diversas emoções, reações e sensações, como sorrisos, concentração e movimentos corporais, como agitação de pés e mãos, balanço do corpo, palmas e outros gestos corporais, bem como a sensação de relaxamento, diminuindo a ansiedade e o medo por estar em um espaço diferente do seu habitual. Alguns aspectos são comuns à maioria dos pacientes infantis, como a necessidade de afeto e atenção durante as brincadeiras, nas quais os acompanhantes são fundamentais para que o brincar seja vivenciado de forma alegre, auxiliando na identificação de procedimentos abrangentes, tais como o acesso e o soro, a medicação, dentre outros pontos.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crianças, pais e familiares compartilham, no interior da brinquedoteca (com outros familiares, crianças e com os profissionais da Pedagogia), as angústias, medos e inseguranças do tratamento da enfermidade e as conquistas no decorrer dos dias. Dessa forma, reestruturam as experiências traumáticas vivenciadas e fortalecem os vínculos afetivos e a socialização. Momentos importantes para diminuir a tensão, a dor e o medo. Nesse contexto, percebe-se que a interação musical favorece não somente o paciente infantil, mas também os pais e familiares que interagem e compartilham desses momentos únicos com seus filhos.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Percebe-se que o espaço disponibilizado, que se torna também um local de cuidado e de afeto, cumpre a tarefa, ajudando na melhora física e psicológica do paciente enfermo e de seus familiares, que enfrentam juntos a tarefa da internação. Dado o exposto, nota-se que a criança é um ser brincante e, brincando, faz música, pois assim se relaciona com o mundo que descobre a cada dia. Fazendo música, metaforicamente, ela “transforma-se em sons”, em um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permanente exercício: receptiva e curiosa, a criança pesquisa materiais sonoros, “descobre instrumentos”, inventa e imita motivos melódicos e rítmicos e ouve com prazer a música de todos os povos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Brito,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2003).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seguir, alguns registros fotográficos dos momentos lúdicos na Brinquedoteca do Hospital Divina Providência – HDP, de Frederico Westphalen/RS.</w:t>
      </w:r>
    </w:p>
    <w:p w:rsidR="00393B27" w:rsidRDefault="00393B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FIGURA 04: </w:t>
      </w:r>
      <w:r>
        <w:rPr>
          <w:rFonts w:ascii="Times New Roman" w:eastAsia="Times New Roman" w:hAnsi="Times New Roman" w:cs="Times New Roman"/>
        </w:rPr>
        <w:t>Momentos lúdicos na Brinquedoteca do Hospital</w:t>
      </w:r>
    </w:p>
    <w:p w:rsidR="00393B27" w:rsidRPr="00AE2C22" w:rsidRDefault="00B0442E" w:rsidP="00AE2C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04074DED" wp14:editId="27451D8B">
            <wp:extent cx="1933687" cy="2557788"/>
            <wp:effectExtent l="0" t="0" r="0" b="0"/>
            <wp:docPr id="175631064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687" cy="2557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3B27" w:rsidRPr="00AE2C22" w:rsidRDefault="00B0442E" w:rsidP="00AE2C22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Acervo do projeto de extensão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da URI</w:t>
      </w:r>
      <w:proofErr w:type="gramEnd"/>
    </w:p>
    <w:p w:rsidR="00393B27" w:rsidRDefault="00393B27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3B27" w:rsidRDefault="00B0442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FIGURA 05: </w:t>
      </w:r>
      <w:r>
        <w:rPr>
          <w:rFonts w:ascii="Times New Roman" w:eastAsia="Times New Roman" w:hAnsi="Times New Roman" w:cs="Times New Roman"/>
        </w:rPr>
        <w:t>Momentos lúdicos na Brinquedoteca do Hospital</w:t>
      </w:r>
    </w:p>
    <w:p w:rsidR="00393B27" w:rsidRPr="00AE2C22" w:rsidRDefault="00B0442E" w:rsidP="00AE2C2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689DB21" wp14:editId="01A86685">
            <wp:extent cx="2452679" cy="1853637"/>
            <wp:effectExtent l="0" t="0" r="0" b="0"/>
            <wp:docPr id="175631065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2679" cy="1853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3B27" w:rsidRDefault="00B0442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Acervo do projeto de extensão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da URI</w:t>
      </w:r>
      <w:proofErr w:type="gramEnd"/>
    </w:p>
    <w:p w:rsidR="00393B27" w:rsidRDefault="00393B27" w:rsidP="00AE2C2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Pr="00AE2C22" w:rsidRDefault="00B0442E" w:rsidP="00AE2C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Assim, é um projeto que destaca a sensibilidade, no auxílio às crianças e familiares, promovendo a humanidade, a vivência e a interação com o outro, tão necessários na contemporaneidade, enfatizando o lúdico e a música como uma rede que auxilia no processo de construção do humano com notas de vida.</w:t>
      </w:r>
    </w:p>
    <w:p w:rsidR="00393B27" w:rsidRDefault="00B0442E">
      <w:pPr>
        <w:pStyle w:val="Ttulo1"/>
        <w:spacing w:after="0"/>
        <w:rPr>
          <w:b w:val="0"/>
          <w:sz w:val="24"/>
          <w:szCs w:val="24"/>
          <w:highlight w:val="yellow"/>
        </w:rPr>
      </w:pPr>
      <w:r>
        <w:rPr>
          <w:sz w:val="24"/>
          <w:szCs w:val="24"/>
        </w:rPr>
        <w:lastRenderedPageBreak/>
        <w:t xml:space="preserve">CONSIDERAÇÕES FINAIS </w:t>
      </w:r>
    </w:p>
    <w:p w:rsidR="00393B27" w:rsidRDefault="00393B27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Repensar os espaços de brincar implica em reavaliar a cidade como um todo, com o objetivo de criar mais locais que promovam a liberdade, a exploração e a descoberta. Nesses espaços, o brincar deve ser reconhecido como um direito fundamental das crianças e, também, como atividade crucial para o seu desenvolvimento físico, emocional e cognitivo. Uma cidade que valoriza o brincar como elemento central se torna mais humana, inclusiva e vibrante para todos.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Iniciativas como a desenvolvida no Hospital Divina Providência, da Cidade de Frederico Westphalen/ RS, envolvendo a música no brincar com o intuito de acolher as crianças e seus familiares que se encontram internados, com a premissa de que elas precisam de carinho, atenção e afeto, mostram a importância de espaços lúdicos dedicados às crianças. O projeto 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Música na Brinquedoteca Hospitalar: notas de vida</w:t>
      </w:r>
      <w:r>
        <w:rPr>
          <w:rFonts w:ascii="Times New Roman" w:eastAsia="Times New Roman" w:hAnsi="Times New Roman" w:cs="Times New Roman"/>
          <w:sz w:val="24"/>
          <w:szCs w:val="24"/>
        </w:rPr>
        <w:t>” é um exemplo de como a música pode ser uma ferramenta de aprendizagem e uma forma de brincar, proporcionando momentos de descontração e alegria em ambientes hospitalares.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Experiências como o projeto "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Brincar é coisa séria!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", da Escola Municipal de Educação Infantil Pedacinho do Céu, do Município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Taquaruçu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Sul/ RS, com a revitalização de espaço "brincável", mostra a importância de transformar não apenas os espaços internos das escolas, vislumbrando a ideia de que possa contemplar também os ambientes urbanos. Esse projeto reflete um compromisso com o desenvolvimento integral das crianças e a criação de uma cidade que valorize suas necessidades.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Essas experiências demonstram a importância de repensar e recriar espaços de brincar não apenas dentro, mas também fora dos muros da escola. Ao ampliar a concepção de espaços de brincar, pode-se transformar a cidade inteira em um parque infantil inclusivo e estimulante, refletindo um compromisso com o desenvolvimento integral das crianças.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Cidade das Crianças, inspirada nas ideias de Francesco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Tonucci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promove uma abordagem centrada nas necessidades e perspectivas infantis no planejamento das cidades.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Projeto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Città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dei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Bambini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conduzido por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Tonucci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 Itália, visa transformar os centros urbanos em espaços mais adequados para as crianças, priorizando seu direito de brincar livremente. Movimentos como "Jundiaí, Cidade das Crianças", no Brasil, destacam a importância de considerar as crianças como protagonistas no planejamento urbano, assegurando-lhes liberdade e autonomia. Essas iniciativas são fundamentais para reconhecer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as crianças como sujeitos de direitos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 não apenas objetos passivos do ambiente urbano.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Conectar educação e o espaço das cidades é um grande desafio, mas a ideia da Cidade Educadora, com sua ênfase para todas as faixas etárias, é essencial para garantir que as crianças tenham o que precisam para aprender e crescer felizes. É crucial repensar como as cidades são feitas, de modo a incluí-las e permitir que aprendam livremente.</w:t>
      </w:r>
    </w:p>
    <w:p w:rsidR="00393B27" w:rsidRDefault="00B044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Promover o brincar como parte do planejamento urbano significa transformar a cidade em um ambiente amigo da infância, envolvendo crianças e famílias no processo de design dos espaços públicos. É essencial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implementar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políticas públicas que priorizem o financiamento de instalações lúdicas e seguras, além de apoiar projetos comunitários que garantam o direito ao brincar.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393B27" w:rsidRDefault="00393B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3B27" w:rsidRDefault="00B044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REFERÊNCIAS </w:t>
      </w:r>
    </w:p>
    <w:p w:rsidR="00393B27" w:rsidRDefault="00393B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C0C0C0"/>
          <w:sz w:val="24"/>
          <w:szCs w:val="24"/>
        </w:rPr>
      </w:pPr>
    </w:p>
    <w:p w:rsidR="00393B27" w:rsidRDefault="00B0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BRASIL. Constituição (1988).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Constituição da República Federativa do Brasil de 1988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Brasília, DF: Presidência da República, 1988. Disponível em: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https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://www.planalto.gov.br/ccivil_03/constituicao/constituicao.htm. Acesso em: 22 de jul. de 2024.</w:t>
      </w:r>
    </w:p>
    <w:p w:rsidR="00393B27" w:rsidRDefault="00393B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BRASIL. Estatuto da Criança e do Adolescente: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Lei federal nº 8069, de 13 de julho de 1990.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Rio de Janeiro: Imprensa Oficial, 2002. BRASIL.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Disponível em: </w:t>
      </w:r>
      <w:hyperlink r:id="rId14">
        <w:r>
          <w:rPr>
            <w:rFonts w:ascii="Times New Roman" w:eastAsia="Times New Roman" w:hAnsi="Times New Roman" w:cs="Times New Roman"/>
            <w:sz w:val="24"/>
            <w:szCs w:val="24"/>
          </w:rPr>
          <w:t>https://www.planalto.gov.br/ccivil_03/leis/l8069.htm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 Acesso em: 22 jul. 2024.</w:t>
      </w:r>
    </w:p>
    <w:p w:rsidR="00393B27" w:rsidRDefault="00393B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BRASIL. Ministério da Educação. Secretaria de Educação Básica.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Base Nacional Comum Curricular</w:t>
      </w:r>
      <w:r>
        <w:rPr>
          <w:rFonts w:ascii="Times New Roman" w:eastAsia="Times New Roman" w:hAnsi="Times New Roman" w:cs="Times New Roman"/>
          <w:sz w:val="24"/>
          <w:szCs w:val="24"/>
        </w:rPr>
        <w:t>. Brasília: MEC, 2017. Disponível em: http://basenacionalcomum.mec.gov.br/. Acesso em: 22 jul. 2024.</w:t>
      </w:r>
    </w:p>
    <w:p w:rsidR="00393B27" w:rsidRDefault="00393B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BRASIL.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Lei nº 13.257, de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de março de 2016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Dispõe sobre as políticas públicas para a primeira infância e altera a Lei no 8.069, de 13 de julho de 1990 (Estatuto da Criança e do Adolescente), o Decreto-Lei no 3.689, 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 outubro de 1941 (Código de Processo Penal), a Consolidação das Leis do Trabalho (CLT), aprovada pelo Decreto-Lei no5.452, de 1° de maio de 1943, a Lei no 11.770, de 9 de setembro de 2008, e a Lei no 12.662, de 5 de junho de 2012. Brasília, DF, 2016. Disponível em: http://www.planalto.gov.br/ccivil_03/_ato2015-2018/2016/lei/L13257.htm. Acesso em: 22 de jul. de 2024.</w:t>
      </w:r>
    </w:p>
    <w:p w:rsidR="00393B27" w:rsidRDefault="00393B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BRITO, Teca Alencar de.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Música na educação infantil.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São Paulo: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Peirópolis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2003.</w:t>
      </w:r>
    </w:p>
    <w:p w:rsidR="00393B27" w:rsidRDefault="00393B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CABEZUDO, Alicia. Cidade Educadora: uma proposta para os governos locais.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>: GADOTTI, M.; PADILHA, P.R.; CABEZUDO, A.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.).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Cidade educadora: princípios e experiências.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São Paulo/SP: Editora Cortez; Instituto Paulo Freire. Buenos Aires/Argentina: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Ciudades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Educadoras América Latina, 2004.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11-14.</w:t>
      </w:r>
    </w:p>
    <w:p w:rsidR="00393B27" w:rsidRDefault="00393B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DEWEY, John.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Vida e educação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Tradução Anísio Teixeira. 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ed.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São Paulo: Melhoramentos, 1967.</w:t>
      </w:r>
    </w:p>
    <w:p w:rsidR="00393B27" w:rsidRDefault="00393B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FAURE, Edgar.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Aprender a ser</w:t>
      </w:r>
      <w:r>
        <w:rPr>
          <w:rFonts w:ascii="Times New Roman" w:eastAsia="Times New Roman" w:hAnsi="Times New Roman" w:cs="Times New Roman"/>
          <w:sz w:val="24"/>
          <w:szCs w:val="24"/>
        </w:rPr>
        <w:t>. Lisboa: Portugal, 1972.</w:t>
      </w:r>
    </w:p>
    <w:p w:rsidR="00393B27" w:rsidRDefault="00393B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GIMENEZ, Beatriz Piccolo.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Brinquedoteca: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Manual em educação e saúde. 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ed.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São Paulo: Cortez, 2011.</w:t>
      </w:r>
    </w:p>
    <w:p w:rsidR="00393B27" w:rsidRDefault="00393B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MOLL, Jaqueline. Reflexões introdutórias ao monográfico «Cidade Educadora: olhares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epráticas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». Pela utopia de cidades educadoras: por um mundo onde todos tenham lugar.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Kultur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evista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interdisciplinária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sobre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la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cultura de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ciutat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v. 6, n. 11, p. 27-38, 2019. DOI: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https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://doi.org/10.6035/Kult-ur.2019.6.11.1. Disponível em: </w:t>
      </w:r>
      <w:hyperlink r:id="rId15">
        <w:r>
          <w:rPr>
            <w:rFonts w:ascii="Times New Roman" w:eastAsia="Times New Roman" w:hAnsi="Times New Roman" w:cs="Times New Roman"/>
            <w:sz w:val="24"/>
            <w:szCs w:val="24"/>
          </w:rPr>
          <w:t>https://www.e-revistes.uji.es/index.php/kult-ur/article/view/3777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 Acesso em: 13 jul. 2024.</w:t>
      </w:r>
    </w:p>
    <w:p w:rsidR="00393B27" w:rsidRDefault="00393B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MOLL, Jaqueline, BARCELOS, Renata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Gerhardt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de, DUTRA, Thiago.  Cidades que educam e se educam: reconstruindo o olhar sobre a educação a partir dos territórios e das pessoas.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Retratos da Escola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2022, v. 16, n. 36, p. 713-717. Disponível em: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https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://retratosdaescola.emnuvens.com.br/rde/article/view/1702. Acesso em: 30 abr. 2024.</w:t>
      </w:r>
    </w:p>
    <w:p w:rsidR="00393B27" w:rsidRDefault="00393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MOREIRA, Tiago Valério Coelho.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Educação Musical nos jardins de infância e no primeiro ciclo da escola portuguesa, num contexto de interdisciplinaridade para a aquisição de competências,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2023. Disponível em: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https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://uvadoc.uva.es/bitstream/10324/2882/1/TESIS322-130530.pdf. Acesso em: 30 jul. 2024.</w:t>
      </w:r>
    </w:p>
    <w:p w:rsidR="00393B27" w:rsidRDefault="00393B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NAÇÕES UNIDAS.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Declaração dos Direitos da Criança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20 de novembro de 1959. Disponível em: </w:t>
      </w:r>
      <w:hyperlink r:id="rId16">
        <w:r>
          <w:rPr>
            <w:rFonts w:ascii="Times New Roman" w:eastAsia="Times New Roman" w:hAnsi="Times New Roman" w:cs="Times New Roman"/>
            <w:sz w:val="24"/>
            <w:szCs w:val="24"/>
          </w:rPr>
          <w:t>https://bvsms.saude.gov.br/bvs/publicacoes/declaracao_universal_direitos_crianca.pdf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 Acesso em: 22 de jul. de 2024.</w:t>
      </w:r>
    </w:p>
    <w:p w:rsidR="00393B27" w:rsidRDefault="00393B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SARMENTO, Manuel Jacinto. Sociologia da Infância: correntes e confluências. In: SARMENTO, M. J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GOUVEA, M. C. 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.).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Estudos da Infância. Educação e Práticas Sociais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Petrópolis, Rio de Janeiro: Vozes, 2008.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17-39.</w:t>
      </w:r>
    </w:p>
    <w:p w:rsidR="00393B27" w:rsidRDefault="00393B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SICREDI CONEXÃO.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Projetos apoiados: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Brincar é coisa séria!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Taquaruçu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Sul, 2023. Disponível em: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https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://fundo.sicrediconexao.com.br/projetos/. Acesso em: 30 jul. 2024.</w:t>
      </w:r>
    </w:p>
    <w:p w:rsidR="00393B27" w:rsidRDefault="00393B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TONUCCI, Francesco.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Ciudad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los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Niños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nuevo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pensar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ciudad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Buenos Aires,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Losada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UNICEF, 1996.</w:t>
      </w:r>
    </w:p>
    <w:p w:rsidR="00393B27" w:rsidRDefault="00393B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TONUCCI, Francesco. O Direito de Brincar: uma necessidade para as crianças, uma potencialidade para a escola e a cidade.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Práxis Educacional,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Vitória da Conquista, v. 16, n. 40, p. 234-257, 2020. DOI: 10.22481/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praxisedu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v16i40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.6897. Disponível em: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https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://periodicos2.uesb.br/index.php/praxis/article/view/6897. Acesso em: 17 jul. 2024.</w:t>
      </w:r>
    </w:p>
    <w:p w:rsidR="00393B27" w:rsidRDefault="00393B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B0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WINNICOTT, Donald W.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 criança e o seu mundo.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Rio de Janeiro: LTC‐ Livros Técnicos 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Científicos Editora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S.A., 1982.</w:t>
      </w:r>
    </w:p>
    <w:p w:rsidR="00393B27" w:rsidRDefault="00393B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Pr="0046685C" w:rsidRDefault="00B0442E" w:rsidP="004668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WINNICOTT, Donald W.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 Brincar e a Realidade</w:t>
      </w:r>
      <w:r>
        <w:rPr>
          <w:rFonts w:ascii="Times New Roman" w:eastAsia="Times New Roman" w:hAnsi="Times New Roman" w:cs="Times New Roman"/>
          <w:sz w:val="24"/>
          <w:szCs w:val="24"/>
        </w:rPr>
        <w:t>. Rio de Janeiro: Imago, 1975.</w:t>
      </w:r>
    </w:p>
    <w:p w:rsidR="00393B27" w:rsidRDefault="00393B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Default="00393B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AE2C22" w:rsidRDefault="00AE2C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Pr="0046685C" w:rsidRDefault="004668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685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SOBRE AS AUTORAS</w:t>
      </w:r>
    </w:p>
    <w:p w:rsidR="00393B27" w:rsidRPr="0046685C" w:rsidRDefault="00393B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3B27" w:rsidRPr="0046685C" w:rsidRDefault="00B044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668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Juliane Cláudia Piovesan</w:t>
      </w:r>
    </w:p>
    <w:p w:rsidR="0046685C" w:rsidRDefault="00B044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Doutora em Educação pelo Programa de Pós-graduação em Educação da Universidade Regional Integrada do Alto Uruguai e das Missões, Mestra em Educação pela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Unisinos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Especialista em Planejamento e Gestão e Graduada em Pedagogia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 URI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Participa do Grupo de Pesquisa em Educação e Tecnologias (GPET) e do Grupo de Pesquisa Processos Educativos: Formação de Professores, Saberes e Práticas - GPPE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Professora da Universidade Regional Integrada do Alto Uruguai e das Missões. Membro da Cátedra/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Unesco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Lattes: </w:t>
      </w:r>
      <w:hyperlink r:id="rId17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white"/>
          </w:rPr>
          <w:t>http://lattes.cnpq.br/5944996636101306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:rsidR="00393B27" w:rsidRDefault="00B044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E-mail: </w:t>
      </w:r>
      <w:hyperlink r:id="rId18" w:history="1">
        <w:r w:rsidR="0046685C" w:rsidRPr="00606DEA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</w:rPr>
          <w:t>julianepiovesan2018@gmail.com</w:t>
        </w:r>
      </w:hyperlink>
      <w:r w:rsidR="0046685C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</w:p>
    <w:p w:rsidR="00393B27" w:rsidRDefault="00393B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3B27" w:rsidRPr="0046685C" w:rsidRDefault="00B044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668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Susana Schwartz Basso</w:t>
      </w:r>
    </w:p>
    <w:p w:rsidR="0046685C" w:rsidRDefault="00B0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Doutoranda em Educação pela Universidade Regional Integrada do Alto Uruguai e das Missões (URI/FW), na Linha de Pesquisa de Formação de Professores, Saberes e Práticas Educativas. Mestra em Educação pela Universidade Regional Integrada do Alto Uruguai e das Missões (URI/FW). Integrante do Grupo de Pesquisa Processos Educativos: Formação de Professores, Saberes e Práticas - GPPE. Professora de Educação Básica da Rede Municipal de Frederico Westphalen/RS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Taquaruçu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Sul/RS.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Bolsista CAPES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/ Brasil. Lattes: http://</w:t>
      </w:r>
      <w:r w:rsidR="0046685C">
        <w:rPr>
          <w:rFonts w:ascii="Times New Roman" w:eastAsia="Times New Roman" w:hAnsi="Times New Roman" w:cs="Times New Roman"/>
          <w:sz w:val="24"/>
          <w:szCs w:val="24"/>
        </w:rPr>
        <w:t>lattes.cnpq.br/4496303753569642</w:t>
      </w:r>
    </w:p>
    <w:p w:rsidR="00393B27" w:rsidRDefault="004668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E-mail: </w:t>
      </w:r>
      <w:hyperlink r:id="rId19" w:history="1">
        <w:r w:rsidRPr="00606DE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a079631@uri.edu.br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93B27" w:rsidRDefault="00393B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bookmarkStart w:id="5" w:name="_heading=h.gjdgxs" w:colFirst="0" w:colLast="0"/>
      <w:bookmarkEnd w:id="5"/>
    </w:p>
    <w:sectPr w:rsidR="00393B27" w:rsidSect="00AE2C22">
      <w:headerReference w:type="default" r:id="rId20"/>
      <w:footerReference w:type="default" r:id="rId21"/>
      <w:pgSz w:w="11906" w:h="16838"/>
      <w:pgMar w:top="1700" w:right="1133" w:bottom="1133" w:left="1700" w:header="567" w:footer="567" w:gutter="0"/>
      <w:pgNumType w:start="5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42E" w:rsidRDefault="00B0442E">
      <w:pPr>
        <w:spacing w:after="0" w:line="240" w:lineRule="auto"/>
      </w:pPr>
      <w:r>
        <w:separator/>
      </w:r>
    </w:p>
  </w:endnote>
  <w:endnote w:type="continuationSeparator" w:id="0">
    <w:p w:rsidR="00B0442E" w:rsidRDefault="00B04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B27" w:rsidRDefault="007C7B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RPr="00D93F26">
      <w:rPr>
        <w:rFonts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91B5247" wp14:editId="38304B28">
              <wp:simplePos x="0" y="0"/>
              <wp:positionH relativeFrom="rightMargin">
                <wp:posOffset>19050</wp:posOffset>
              </wp:positionH>
              <wp:positionV relativeFrom="margin">
                <wp:posOffset>6413500</wp:posOffset>
              </wp:positionV>
              <wp:extent cx="510540" cy="2183130"/>
              <wp:effectExtent l="0" t="0" r="0" b="0"/>
              <wp:wrapNone/>
              <wp:docPr id="2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7BC5" w:rsidRPr="00C46114" w:rsidRDefault="007C7BC5" w:rsidP="007C7BC5">
                          <w:pPr>
                            <w:pStyle w:val="Rodap"/>
                            <w:rPr>
                              <w:rFonts w:asciiTheme="minorHAnsi" w:eastAsiaTheme="majorEastAsia" w:hAnsiTheme="minorHAnsi" w:cstheme="majorBidi"/>
                              <w:color w:val="0070C0"/>
                              <w:sz w:val="44"/>
                              <w:szCs w:val="44"/>
                            </w:rPr>
                          </w:pPr>
                          <w:r w:rsidRPr="00C46114">
                            <w:rPr>
                              <w:rFonts w:asciiTheme="minorHAnsi" w:eastAsiaTheme="majorEastAsia" w:hAnsiTheme="minorHAnsi" w:cstheme="majorBidi"/>
                              <w:color w:val="0070C0"/>
                            </w:rPr>
                            <w:t>Página</w:t>
                          </w:r>
                          <w:r w:rsidRPr="00C46114">
                            <w:rPr>
                              <w:rFonts w:asciiTheme="minorHAnsi" w:eastAsiaTheme="minorEastAsia" w:hAnsiTheme="minorHAnsi" w:cstheme="minorBidi"/>
                              <w:color w:val="0070C0"/>
                              <w:szCs w:val="21"/>
                            </w:rPr>
                            <w:fldChar w:fldCharType="begin"/>
                          </w:r>
                          <w:r w:rsidRPr="00C46114">
                            <w:rPr>
                              <w:rFonts w:asciiTheme="minorHAnsi" w:hAnsiTheme="minorHAnsi"/>
                              <w:color w:val="0070C0"/>
                            </w:rPr>
                            <w:instrText>PAGE    \* MERGEFORMAT</w:instrText>
                          </w:r>
                          <w:r w:rsidRPr="00C46114">
                            <w:rPr>
                              <w:rFonts w:asciiTheme="minorHAnsi" w:eastAsiaTheme="minorEastAsia" w:hAnsiTheme="minorHAnsi" w:cstheme="minorBidi"/>
                              <w:color w:val="0070C0"/>
                              <w:szCs w:val="21"/>
                            </w:rPr>
                            <w:fldChar w:fldCharType="separate"/>
                          </w:r>
                          <w:r w:rsidR="00151331" w:rsidRPr="00151331">
                            <w:rPr>
                              <w:rFonts w:asciiTheme="minorHAnsi" w:eastAsiaTheme="majorEastAsia" w:hAnsiTheme="minorHAnsi" w:cstheme="majorBidi"/>
                              <w:noProof/>
                              <w:color w:val="0070C0"/>
                              <w:sz w:val="44"/>
                              <w:szCs w:val="44"/>
                            </w:rPr>
                            <w:t>68</w:t>
                          </w:r>
                          <w:r w:rsidRPr="00C46114">
                            <w:rPr>
                              <w:rFonts w:asciiTheme="minorHAnsi" w:eastAsiaTheme="majorEastAsia" w:hAnsiTheme="minorHAnsi" w:cstheme="majorBidi"/>
                              <w:color w:val="0070C0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3" o:spid="_x0000_s1026" style="position:absolute;margin-left:1.5pt;margin-top:505pt;width:40.2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" o:allowincell="f" filled="f" stroked="f">
              <v:textbox style="layout-flow:vertical;mso-layout-flow-alt:bottom-to-top;mso-fit-shape-to-text:t">
                <w:txbxContent>
                  <w:p w:rsidR="007C7BC5" w:rsidRPr="00C46114" w:rsidRDefault="007C7BC5" w:rsidP="007C7BC5">
                    <w:pPr>
                      <w:pStyle w:val="Rodap"/>
                      <w:rPr>
                        <w:rFonts w:asciiTheme="minorHAnsi" w:eastAsiaTheme="majorEastAsia" w:hAnsiTheme="minorHAnsi" w:cstheme="majorBidi"/>
                        <w:color w:val="0070C0"/>
                        <w:sz w:val="44"/>
                        <w:szCs w:val="44"/>
                      </w:rPr>
                    </w:pPr>
                    <w:r w:rsidRPr="00C46114">
                      <w:rPr>
                        <w:rFonts w:asciiTheme="minorHAnsi" w:eastAsiaTheme="majorEastAsia" w:hAnsiTheme="minorHAnsi" w:cstheme="majorBidi"/>
                        <w:color w:val="0070C0"/>
                      </w:rPr>
                      <w:t>Página</w:t>
                    </w:r>
                    <w:r w:rsidRPr="00C46114">
                      <w:rPr>
                        <w:rFonts w:asciiTheme="minorHAnsi" w:eastAsiaTheme="minorEastAsia" w:hAnsiTheme="minorHAnsi" w:cstheme="minorBidi"/>
                        <w:color w:val="0070C0"/>
                        <w:szCs w:val="21"/>
                      </w:rPr>
                      <w:fldChar w:fldCharType="begin"/>
                    </w:r>
                    <w:r w:rsidRPr="00C46114">
                      <w:rPr>
                        <w:rFonts w:asciiTheme="minorHAnsi" w:hAnsiTheme="minorHAnsi"/>
                        <w:color w:val="0070C0"/>
                      </w:rPr>
                      <w:instrText>PAGE    \* MERGEFORMAT</w:instrText>
                    </w:r>
                    <w:r w:rsidRPr="00C46114">
                      <w:rPr>
                        <w:rFonts w:asciiTheme="minorHAnsi" w:eastAsiaTheme="minorEastAsia" w:hAnsiTheme="minorHAnsi" w:cstheme="minorBidi"/>
                        <w:color w:val="0070C0"/>
                        <w:szCs w:val="21"/>
                      </w:rPr>
                      <w:fldChar w:fldCharType="separate"/>
                    </w:r>
                    <w:r w:rsidR="00151331" w:rsidRPr="00151331">
                      <w:rPr>
                        <w:rFonts w:asciiTheme="minorHAnsi" w:eastAsiaTheme="majorEastAsia" w:hAnsiTheme="minorHAnsi" w:cstheme="majorBidi"/>
                        <w:noProof/>
                        <w:color w:val="0070C0"/>
                        <w:sz w:val="44"/>
                        <w:szCs w:val="44"/>
                      </w:rPr>
                      <w:t>68</w:t>
                    </w:r>
                    <w:r w:rsidRPr="00C46114">
                      <w:rPr>
                        <w:rFonts w:asciiTheme="minorHAnsi" w:eastAsiaTheme="majorEastAsia" w:hAnsiTheme="minorHAnsi" w:cstheme="majorBidi"/>
                        <w:color w:val="0070C0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  <w:tbl>
    <w:tblPr>
      <w:tblStyle w:val="a2"/>
      <w:tblW w:w="8494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4996"/>
      <w:gridCol w:w="3498"/>
    </w:tblGrid>
    <w:tr w:rsidR="00393B27">
      <w:trPr>
        <w:jc w:val="center"/>
      </w:trPr>
      <w:tc>
        <w:tcPr>
          <w:tcW w:w="8494" w:type="dxa"/>
          <w:gridSpan w:val="2"/>
          <w:tcBorders>
            <w:top w:val="single" w:sz="4" w:space="0" w:color="0070C0"/>
            <w:left w:val="single" w:sz="4" w:space="0" w:color="0070C0"/>
            <w:bottom w:val="single" w:sz="4" w:space="0" w:color="0070C0"/>
            <w:right w:val="single" w:sz="4" w:space="0" w:color="0070C0"/>
          </w:tcBorders>
          <w:shd w:val="clear" w:color="auto" w:fill="auto"/>
        </w:tcPr>
        <w:p w:rsidR="00393B27" w:rsidRDefault="00B0442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i/>
              <w:color w:val="000000"/>
              <w:sz w:val="20"/>
              <w:szCs w:val="20"/>
            </w:rPr>
            <w:t xml:space="preserve">Revista de Ciências Humanas, </w:t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 xml:space="preserve">Frederico Westphalen – RS, </w:t>
          </w:r>
          <w:r w:rsidR="00AE2C22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>v. 25, n. 3, p. 53-68</w:t>
          </w:r>
          <w:r w:rsidR="007C7BC5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>, set./dez. 2024.</w:t>
          </w:r>
        </w:p>
      </w:tc>
    </w:tr>
    <w:tr w:rsidR="00393B27">
      <w:trPr>
        <w:jc w:val="center"/>
      </w:trPr>
      <w:tc>
        <w:tcPr>
          <w:tcW w:w="4996" w:type="dxa"/>
          <w:tcBorders>
            <w:top w:val="single" w:sz="4" w:space="0" w:color="0070C0"/>
            <w:left w:val="single" w:sz="4" w:space="0" w:color="0070C0"/>
            <w:bottom w:val="single" w:sz="4" w:space="0" w:color="0070C0"/>
            <w:right w:val="single" w:sz="4" w:space="0" w:color="0070C0"/>
          </w:tcBorders>
          <w:shd w:val="clear" w:color="auto" w:fill="auto"/>
        </w:tcPr>
        <w:p w:rsidR="00393B27" w:rsidRDefault="00B0442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 xml:space="preserve">Recebido em: </w:t>
          </w:r>
          <w:r>
            <w:rPr>
              <w:rFonts w:ascii="Arial Narrow" w:eastAsia="Arial Narrow" w:hAnsi="Arial Narrow" w:cs="Arial Narrow"/>
              <w:sz w:val="20"/>
              <w:szCs w:val="20"/>
            </w:rPr>
            <w:t>30</w:t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>/</w:t>
          </w:r>
          <w:r>
            <w:rPr>
              <w:rFonts w:ascii="Arial Narrow" w:eastAsia="Arial Narrow" w:hAnsi="Arial Narrow" w:cs="Arial Narrow"/>
              <w:sz w:val="20"/>
              <w:szCs w:val="20"/>
            </w:rPr>
            <w:t>09</w:t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>/2024</w:t>
          </w:r>
        </w:p>
      </w:tc>
      <w:tc>
        <w:tcPr>
          <w:tcW w:w="3498" w:type="dxa"/>
          <w:tcBorders>
            <w:top w:val="single" w:sz="4" w:space="0" w:color="0070C0"/>
            <w:left w:val="single" w:sz="4" w:space="0" w:color="0070C0"/>
            <w:bottom w:val="single" w:sz="4" w:space="0" w:color="0070C0"/>
            <w:right w:val="single" w:sz="4" w:space="0" w:color="0070C0"/>
          </w:tcBorders>
          <w:shd w:val="clear" w:color="auto" w:fill="auto"/>
        </w:tcPr>
        <w:p w:rsidR="00393B27" w:rsidRDefault="00B0442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>Aceito em: 13/11/2024</w:t>
          </w:r>
        </w:p>
      </w:tc>
    </w:tr>
  </w:tbl>
  <w:p w:rsidR="00393B27" w:rsidRDefault="00393B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42E" w:rsidRDefault="00B0442E">
      <w:pPr>
        <w:spacing w:after="0" w:line="240" w:lineRule="auto"/>
      </w:pPr>
      <w:r>
        <w:separator/>
      </w:r>
    </w:p>
  </w:footnote>
  <w:footnote w:type="continuationSeparator" w:id="0">
    <w:p w:rsidR="00B0442E" w:rsidRDefault="00B0442E">
      <w:pPr>
        <w:spacing w:after="0" w:line="240" w:lineRule="auto"/>
      </w:pPr>
      <w:r>
        <w:continuationSeparator/>
      </w:r>
    </w:p>
  </w:footnote>
  <w:footnote w:id="1">
    <w:p w:rsidR="00393B27" w:rsidRDefault="00B044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Universidade Regional Integrada do Alto Uruguai e Missões, Brasil.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Orcid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hyperlink r:id="rId1">
        <w:r>
          <w:rPr>
            <w:rFonts w:ascii="Times New Roman" w:eastAsia="Times New Roman" w:hAnsi="Times New Roman" w:cs="Times New Roman"/>
            <w:sz w:val="20"/>
            <w:szCs w:val="20"/>
          </w:rPr>
          <w:t>https://orcid.org/0000-0002-8283-7650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</w:footnote>
  <w:footnote w:id="2">
    <w:p w:rsidR="00393B27" w:rsidRDefault="00B044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Universidade Regional Integrada do Alto Uruguai e das Missões, Brasil.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Orcid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: 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https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://orcid.org/0000-0002-9088-1942.</w:t>
      </w:r>
    </w:p>
  </w:footnote>
  <w:footnote w:id="3">
    <w:p w:rsidR="00393B27" w:rsidRDefault="00B0442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Disponível em: </w:t>
      </w:r>
      <w:hyperlink r:id="rId2">
        <w:r>
          <w:rPr>
            <w:rFonts w:ascii="Times New Roman" w:eastAsia="Times New Roman" w:hAnsi="Times New Roman" w:cs="Times New Roman"/>
            <w:sz w:val="20"/>
            <w:szCs w:val="20"/>
          </w:rPr>
          <w:t>https://www.edcities.org/pt/lista-das-cidades-associadas/</w:t>
        </w:r>
      </w:hyperlink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Acesso em: 14 jul. 2024.</w:t>
      </w:r>
    </w:p>
    <w:p w:rsidR="00393B27" w:rsidRDefault="00393B27">
      <w:pPr>
        <w:spacing w:after="0" w:line="240" w:lineRule="auto"/>
        <w:rPr>
          <w:sz w:val="20"/>
          <w:szCs w:val="20"/>
        </w:rPr>
      </w:pPr>
    </w:p>
  </w:footnote>
  <w:footnote w:id="4">
    <w:p w:rsidR="00393B27" w:rsidRDefault="00B0442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Disponível em: </w:t>
      </w:r>
      <w:hyperlink r:id="rId3">
        <w:r>
          <w:rPr>
            <w:rFonts w:ascii="Times New Roman" w:eastAsia="Times New Roman" w:hAnsi="Times New Roman" w:cs="Times New Roman"/>
            <w:sz w:val="20"/>
            <w:szCs w:val="20"/>
          </w:rPr>
          <w:t>https://jundiai.sp.gov.br/noticias/2021/05/27/rede-mundial-de-cidade-das-criancas-da-qual-jundiai-faz-parte-completa-30-anos/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. Acesso em: 14 jul. 2024.</w:t>
      </w:r>
    </w:p>
    <w:p w:rsidR="00393B27" w:rsidRDefault="00393B27">
      <w:pPr>
        <w:spacing w:after="0" w:line="240" w:lineRule="auto"/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B27" w:rsidRDefault="00393B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993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93B27"/>
    <w:rsid w:val="00151331"/>
    <w:rsid w:val="00393B27"/>
    <w:rsid w:val="0046685C"/>
    <w:rsid w:val="007C7BC5"/>
    <w:rsid w:val="00AE2C22"/>
    <w:rsid w:val="00B04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567"/>
      </w:tabs>
      <w:spacing w:after="48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after="24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after="24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E17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4E1720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Fontepargpadro"/>
    <w:rsid w:val="004E1720"/>
  </w:style>
  <w:style w:type="character" w:styleId="Hyperlink">
    <w:name w:val="Hyperlink"/>
    <w:basedOn w:val="Fontepargpadro"/>
    <w:uiPriority w:val="99"/>
    <w:unhideWhenUsed/>
    <w:rsid w:val="002F0AB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F0AB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texto">
    <w:name w:val="texto"/>
    <w:basedOn w:val="Fontepargpadro"/>
    <w:rsid w:val="002F0AB5"/>
  </w:style>
  <w:style w:type="character" w:customStyle="1" w:styleId="UnresolvedMention">
    <w:name w:val="Unresolved Mention"/>
    <w:basedOn w:val="Fontepargpadro"/>
    <w:uiPriority w:val="99"/>
    <w:semiHidden/>
    <w:unhideWhenUsed/>
    <w:rsid w:val="00566FE6"/>
    <w:rPr>
      <w:color w:val="605E5C"/>
      <w:shd w:val="clear" w:color="auto" w:fill="E1DFDD"/>
    </w:r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C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7BC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C7B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BC5"/>
  </w:style>
  <w:style w:type="paragraph" w:styleId="Rodap">
    <w:name w:val="footer"/>
    <w:basedOn w:val="Normal"/>
    <w:link w:val="RodapChar"/>
    <w:uiPriority w:val="99"/>
    <w:unhideWhenUsed/>
    <w:rsid w:val="007C7B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B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567"/>
      </w:tabs>
      <w:spacing w:after="48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after="24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after="24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E17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4E1720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Fontepargpadro"/>
    <w:rsid w:val="004E1720"/>
  </w:style>
  <w:style w:type="character" w:styleId="Hyperlink">
    <w:name w:val="Hyperlink"/>
    <w:basedOn w:val="Fontepargpadro"/>
    <w:uiPriority w:val="99"/>
    <w:unhideWhenUsed/>
    <w:rsid w:val="002F0AB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F0AB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texto">
    <w:name w:val="texto"/>
    <w:basedOn w:val="Fontepargpadro"/>
    <w:rsid w:val="002F0AB5"/>
  </w:style>
  <w:style w:type="character" w:customStyle="1" w:styleId="UnresolvedMention">
    <w:name w:val="Unresolved Mention"/>
    <w:basedOn w:val="Fontepargpadro"/>
    <w:uiPriority w:val="99"/>
    <w:semiHidden/>
    <w:unhideWhenUsed/>
    <w:rsid w:val="00566FE6"/>
    <w:rPr>
      <w:color w:val="605E5C"/>
      <w:shd w:val="clear" w:color="auto" w:fill="E1DFDD"/>
    </w:r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C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7BC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C7B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BC5"/>
  </w:style>
  <w:style w:type="paragraph" w:styleId="Rodap">
    <w:name w:val="footer"/>
    <w:basedOn w:val="Normal"/>
    <w:link w:val="RodapChar"/>
    <w:uiPriority w:val="99"/>
    <w:unhideWhenUsed/>
    <w:rsid w:val="007C7B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B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hyperlink" Target="mailto:julianepiovesan2018@gmail.com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://lattes.cnpq.br/5944996636101306" TargetMode="External"/><Relationship Id="rId2" Type="http://schemas.openxmlformats.org/officeDocument/2006/relationships/styles" Target="styles.xml"/><Relationship Id="rId16" Type="http://schemas.openxmlformats.org/officeDocument/2006/relationships/hyperlink" Target="https://bvsms.saude.gov.br/bvs/publicacoes/declaracao_universal_direitos_crianca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ndo.sicrediconexao.com.br/projeto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-revistes.uji.es/index.php/kult-ur/article/view/3777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mailto:a079631@uri.edu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undo.sicrediconexao.com.br/projetos/" TargetMode="External"/><Relationship Id="rId14" Type="http://schemas.openxmlformats.org/officeDocument/2006/relationships/hyperlink" Target="https://www.planalto.gov.br/ccivil_03/leis/l8069.htm" TargetMode="External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jundiai.sp.gov.br/noticias/2021/05/27/rede-mundial-de-cidade-das-criancas-da-qual-jundiai-faz-parte-completa-30-anos/" TargetMode="External"/><Relationship Id="rId2" Type="http://schemas.openxmlformats.org/officeDocument/2006/relationships/hyperlink" Target="https://www.edcities.org/pt/lista-das-cidades-associadas/" TargetMode="External"/><Relationship Id="rId1" Type="http://schemas.openxmlformats.org/officeDocument/2006/relationships/hyperlink" Target="https://orcid.org/0000-0002-8283-76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Jvvnj68XYdxwoZLDDU0vBR9JVA==">CgMxLjAyDmguZHRhY21pZ3lqdGJnMg5oLmE2cjlzNjlwc2l4bzIOaC5jemdjaGhob2NxbnAyDmgudnl0ZHRkdHN5NHF0MghoLmdqZGd4czgAciExeTBnTTR5X2lTNjRlYlN1VkRRWDNfVnJJb0poLVhUei0=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5991</Words>
  <Characters>32355</Characters>
  <Application>Microsoft Office Word</Application>
  <DocSecurity>0</DocSecurity>
  <Lines>269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User</cp:lastModifiedBy>
  <cp:revision>5</cp:revision>
  <cp:lastPrinted>2024-12-25T01:10:00Z</cp:lastPrinted>
  <dcterms:created xsi:type="dcterms:W3CDTF">2024-10-29T12:05:00Z</dcterms:created>
  <dcterms:modified xsi:type="dcterms:W3CDTF">2024-12-25T01:10:00Z</dcterms:modified>
</cp:coreProperties>
</file>